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成都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永陵博物馆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仿古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乐器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装具制作配置与价格</w:t>
      </w:r>
    </w:p>
    <w:tbl>
      <w:tblPr>
        <w:tblStyle w:val="2"/>
        <w:tblW w:w="893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"/>
        <w:gridCol w:w="556"/>
        <w:gridCol w:w="3"/>
        <w:gridCol w:w="1679"/>
        <w:gridCol w:w="4"/>
        <w:gridCol w:w="18"/>
        <w:gridCol w:w="705"/>
        <w:gridCol w:w="3"/>
        <w:gridCol w:w="1200"/>
        <w:gridCol w:w="1059"/>
        <w:gridCol w:w="1569"/>
        <w:gridCol w:w="11"/>
        <w:gridCol w:w="981"/>
        <w:gridCol w:w="12"/>
        <w:gridCol w:w="1119"/>
        <w:gridCol w:w="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bookmarkStart w:id="0" w:name="_GoBack" w:colFirst="1" w:colLast="7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数量（个）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内囊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  <w:t>主材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尺寸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（cm）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单价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古筝</w:t>
            </w:r>
          </w:p>
        </w:tc>
        <w:tc>
          <w:tcPr>
            <w:tcW w:w="723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210×36×20</w:t>
            </w:r>
          </w:p>
        </w:tc>
        <w:tc>
          <w:tcPr>
            <w:tcW w:w="993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五弦琵琶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120×48×23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四弦琵琶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120×48×32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箜篌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120×97×42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120×48×18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79×47×36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79×47×38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答腊鼓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79×47×30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毛员鼓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79×47×27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鞨鼓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79×47×45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79×47×36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鸡娄鼓/鞉牢鼓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79×47×38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拍板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棉垫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50×15×15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钹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40×40×20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单排箫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45×40×10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双翼排箫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55×55×10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35×20×15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笙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55×35×15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外包装箱1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4层抽屉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60×62×128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EF2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觱篥1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觱篥2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尺八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篪1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篪3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箫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篪2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箫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六面软墙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笛1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笛4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笛2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笛5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笛3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8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笛6</w:t>
            </w:r>
          </w:p>
        </w:tc>
        <w:tc>
          <w:tcPr>
            <w:tcW w:w="72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随型</w:t>
            </w:r>
          </w:p>
        </w:tc>
        <w:tc>
          <w:tcPr>
            <w:tcW w:w="105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澳松板</w:t>
            </w:r>
          </w:p>
        </w:tc>
        <w:tc>
          <w:tcPr>
            <w:tcW w:w="15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65×10×10</w:t>
            </w:r>
          </w:p>
        </w:tc>
        <w:tc>
          <w:tcPr>
            <w:tcW w:w="99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86" w:type="dxa"/>
            <w:gridSpan w:val="3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外包装箱2</w:t>
            </w:r>
          </w:p>
        </w:tc>
        <w:tc>
          <w:tcPr>
            <w:tcW w:w="723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gridSpan w:val="2"/>
            <w:tcBorders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4层抽屉</w:t>
            </w:r>
          </w:p>
        </w:tc>
        <w:tc>
          <w:tcPr>
            <w:tcW w:w="105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580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60×83×87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3" w:type="dxa"/>
          <w:trHeight w:val="90" w:hRule="atLeast"/>
        </w:trPr>
        <w:tc>
          <w:tcPr>
            <w:tcW w:w="55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3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每层5个</w:t>
            </w:r>
          </w:p>
        </w:tc>
        <w:tc>
          <w:tcPr>
            <w:tcW w:w="105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E2EF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u w:val="single"/>
                <w:lang w:bidi="ar"/>
              </w:rPr>
              <w:t>合 计</w:t>
            </w:r>
          </w:p>
        </w:tc>
        <w:tc>
          <w:tcPr>
            <w:tcW w:w="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u w:val="single"/>
                <w:lang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1" w:firstLineChars="100"/>
              <w:jc w:val="left"/>
              <w:textAlignment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>
      <w:pPr>
        <w:tabs>
          <w:tab w:val="left" w:pos="5023"/>
        </w:tabs>
        <w:spacing w:line="44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23"/>
        </w:tabs>
        <w:spacing w:line="44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23"/>
        </w:tabs>
        <w:spacing w:line="44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23"/>
        </w:tabs>
        <w:spacing w:line="44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23"/>
        </w:tabs>
        <w:spacing w:line="440" w:lineRule="exact"/>
        <w:jc w:val="left"/>
        <w:rPr>
          <w:rFonts w:ascii="黑体" w:hAnsi="黑体" w:eastAsia="黑体" w:cs="黑体"/>
          <w:color w:val="FF0000"/>
          <w:sz w:val="24"/>
          <w:szCs w:val="21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【说明】</w:t>
      </w:r>
    </w:p>
    <w:p>
      <w:pPr>
        <w:tabs>
          <w:tab w:val="left" w:pos="5023"/>
        </w:tabs>
        <w:spacing w:line="440" w:lineRule="exact"/>
        <w:ind w:firstLine="240" w:firstLineChars="100"/>
        <w:jc w:val="left"/>
        <w:rPr>
          <w:rFonts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1、主材：</w:t>
      </w:r>
      <w:r>
        <w:rPr>
          <w:rFonts w:hint="eastAsia" w:ascii="黑体" w:hAnsi="黑体" w:eastAsia="黑体" w:cs="黑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防火板（国产）、澳松板（新西兰）</w:t>
      </w: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/>
          <w:sz w:val="24"/>
          <w:szCs w:val="21"/>
        </w:rPr>
        <w:t>环保PE泡棉（台湾产）、超细纤维布（国产）、无酸白胶（英国产）</w:t>
      </w: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、宋锦（国产定制）。</w:t>
      </w:r>
    </w:p>
    <w:p>
      <w:pPr>
        <w:numPr>
          <w:ilvl w:val="0"/>
          <w:numId w:val="1"/>
        </w:numPr>
        <w:tabs>
          <w:tab w:val="left" w:pos="5023"/>
        </w:tabs>
        <w:spacing w:line="44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sz w:val="24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1"/>
        </w:rPr>
        <w:t>盒型：翻盖盒、抽屉盒。</w:t>
      </w:r>
      <w:r>
        <w:rPr>
          <w:rFonts w:hint="eastAsia" w:ascii="黑体" w:hAnsi="黑体" w:eastAsia="黑体" w:cs="黑体"/>
          <w:color w:val="auto"/>
          <w:sz w:val="24"/>
          <w:szCs w:val="21"/>
          <w:lang w:eastAsia="zh-CN"/>
        </w:rPr>
        <w:t>带标签框，带拉杆及底部滑轮</w:t>
      </w:r>
    </w:p>
    <w:p>
      <w:pPr>
        <w:numPr>
          <w:ilvl w:val="0"/>
          <w:numId w:val="1"/>
        </w:numPr>
        <w:tabs>
          <w:tab w:val="left" w:pos="5023"/>
        </w:tabs>
        <w:spacing w:line="44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sz w:val="24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1"/>
          <w:lang w:eastAsia="zh-CN"/>
        </w:rPr>
        <w:t>颜色</w:t>
      </w:r>
      <w:r>
        <w:rPr>
          <w:rFonts w:hint="eastAsia" w:ascii="黑体" w:hAnsi="黑体" w:eastAsia="黑体" w:cs="黑体"/>
          <w:color w:val="auto"/>
          <w:sz w:val="24"/>
          <w:szCs w:val="21"/>
          <w:lang w:val="en-US" w:eastAsia="zh-CN"/>
        </w:rPr>
        <w:t>:转运箱1-5盒外观颜色统一浅色，6-12盒外观颜色统一深色；</w:t>
      </w:r>
    </w:p>
    <w:p>
      <w:pPr>
        <w:numPr>
          <w:ilvl w:val="0"/>
          <w:numId w:val="0"/>
        </w:numPr>
        <w:tabs>
          <w:tab w:val="left" w:pos="5023"/>
        </w:tabs>
        <w:spacing w:line="440" w:lineRule="exact"/>
        <w:ind w:firstLine="1200" w:firstLineChars="500"/>
        <w:jc w:val="left"/>
        <w:rPr>
          <w:rFonts w:hint="eastAsia" w:ascii="黑体" w:hAnsi="黑体" w:eastAsia="黑体" w:cs="黑体"/>
          <w:color w:val="auto"/>
          <w:sz w:val="24"/>
          <w:szCs w:val="21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1"/>
          <w:lang w:val="en-US" w:eastAsia="zh-CN"/>
        </w:rPr>
        <w:t>囊匣13-18盒外观颜色统一浅色；20-33盒外观颜色统一深色。</w:t>
      </w:r>
    </w:p>
    <w:p>
      <w:pPr>
        <w:tabs>
          <w:tab w:val="left" w:pos="5023"/>
        </w:tabs>
        <w:spacing w:line="440" w:lineRule="exact"/>
        <w:ind w:firstLine="240" w:firstLineChars="100"/>
        <w:jc w:val="left"/>
        <w:rPr>
          <w:rFonts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、内囊：棉垫、软墙、随型。</w:t>
      </w:r>
    </w:p>
    <w:p>
      <w:pPr>
        <w:tabs>
          <w:tab w:val="left" w:pos="5023"/>
        </w:tabs>
        <w:spacing w:line="440" w:lineRule="exact"/>
        <w:ind w:firstLine="240"/>
        <w:jc w:val="left"/>
        <w:rPr>
          <w:rFonts w:hint="default" w:ascii="黑体" w:hAnsi="黑体" w:eastAsia="黑体" w:cs="黑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/>
          <w:sz w:val="24"/>
          <w:szCs w:val="21"/>
        </w:rPr>
        <w:t>囊匣尺寸：以实际制作囊匣尺寸为准</w:t>
      </w:r>
      <w:r>
        <w:rPr>
          <w:rFonts w:hint="eastAsia" w:ascii="黑体" w:hAnsi="黑体" w:eastAsia="黑体"/>
          <w:color w:val="000000"/>
          <w:sz w:val="24"/>
          <w:szCs w:val="21"/>
          <w:lang w:eastAsia="zh-CN"/>
        </w:rPr>
        <w:t>。</w:t>
      </w:r>
      <w:r>
        <w:rPr>
          <w:rFonts w:hint="eastAsia" w:ascii="黑体" w:hAnsi="黑体" w:eastAsia="黑体"/>
          <w:color w:val="000000"/>
          <w:sz w:val="24"/>
          <w:szCs w:val="21"/>
          <w:lang w:val="en-US" w:eastAsia="zh-CN"/>
        </w:rPr>
        <w:t>13-18号囊匣应与19号外包装转运箱匹配，可全部同时收纳在转运箱内。20-33号囊匣应与34号外包装转运箱匹配，可全部同时收纳在转运箱内。</w:t>
      </w:r>
    </w:p>
    <w:p>
      <w:pPr>
        <w:tabs>
          <w:tab w:val="left" w:pos="5023"/>
        </w:tabs>
        <w:spacing w:line="440" w:lineRule="exact"/>
        <w:ind w:firstLine="240"/>
        <w:jc w:val="left"/>
        <w:rPr>
          <w:rFonts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、价格：含税、含运费。</w:t>
      </w:r>
    </w:p>
    <w:p>
      <w:pPr>
        <w:tabs>
          <w:tab w:val="left" w:pos="5023"/>
        </w:tabs>
        <w:spacing w:line="440" w:lineRule="exact"/>
        <w:ind w:firstLine="240"/>
        <w:jc w:val="left"/>
        <w:rPr>
          <w:rFonts w:ascii="黑体" w:hAnsi="黑体" w:eastAsia="黑体" w:cs="黑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21B"/>
    <w:multiLevelType w:val="singleLevel"/>
    <w:tmpl w:val="0668621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2126"/>
    <w:rsid w:val="000B252E"/>
    <w:rsid w:val="061B4FD4"/>
    <w:rsid w:val="077A2955"/>
    <w:rsid w:val="0985184A"/>
    <w:rsid w:val="35BA6189"/>
    <w:rsid w:val="3C553C21"/>
    <w:rsid w:val="3FF05D17"/>
    <w:rsid w:val="55461ED5"/>
    <w:rsid w:val="56D065AF"/>
    <w:rsid w:val="5CFC2126"/>
    <w:rsid w:val="5EC76B7F"/>
    <w:rsid w:val="6BE536A3"/>
    <w:rsid w:val="72420871"/>
    <w:rsid w:val="78EE1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2019-02-21T02:49:00Z</dcterms:created>
  <dc:creator>shiyi601</dc:creator>
  <cp:lastModifiedBy>shiyi601</cp:lastModifiedBy>
  <dcterms:modified xsi:type="dcterms:W3CDTF">2019-03-07T02:31:28Z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